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2024年“铸牢中华民族共同体意识”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default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主题教育活动情况统计表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填报二级学院：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4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活动类型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活动场数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参加活动学生数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参加活动教师数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主题班会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201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70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线上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民族文化文艺活动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主题研学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校外实践活动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81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（类型不全可自行增加）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填报人：覃芳芳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联系电话：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1NTYzMWQzZDdlOWJkYWJhMDczODRjNjhmZmFiMjgifQ=="/>
  </w:docVars>
  <w:rsids>
    <w:rsidRoot w:val="48A567C7"/>
    <w:rsid w:val="48A567C7"/>
    <w:rsid w:val="65CB51E1"/>
    <w:rsid w:val="6C75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2024-04-08T10:25:00Z</dcterms:created>
  <dc:creator>韦宝林</dc:creator>
  <cp:lastModifiedBy>丸子</cp:lastModifiedBy>
  <dcterms:modified xsi:type="dcterms:W3CDTF">2024-04-26T02:42:56Z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A7FFCD355FBE48D08FCBC5E7200A40AB_11</vt:lpwstr>
  </property>
</Properties>
</file>